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Early-Life Exposure to Secondhand Smoke and Polycyclic Aromatic Hydrocarbons: Associations with Epigenetic Aging among Children</w:t>
      </w:r>
    </w:p>
    <w:p>
      <w:pPr>
        <w:pStyle w:val="Body"/>
        <w:spacing w:line="480" w:lineRule="auto"/>
        <w:rPr>
          <w:rFonts w:ascii="Arial" w:cs="Arial" w:hAnsi="Arial" w:eastAsia="Arial"/>
        </w:rPr>
      </w:pPr>
    </w:p>
    <w:p>
      <w:pPr>
        <w:pStyle w:val="Body"/>
        <w:spacing w:line="480" w:lineRule="auto"/>
        <w:rPr>
          <w:rFonts w:ascii="Arial" w:cs="Arial" w:hAnsi="Arial" w:eastAsia="Arial"/>
          <w:vertAlign w:val="superscript"/>
          <w:lang w:val="en-US"/>
        </w:rPr>
      </w:pPr>
      <w:r>
        <w:rPr>
          <w:rFonts w:ascii="Arial" w:hAnsi="Arial"/>
          <w:rtl w:val="0"/>
          <w:lang w:val="da-DK"/>
        </w:rPr>
        <w:t>Sneha S. Patil, MDS</w:t>
      </w:r>
      <w:r>
        <w:rPr>
          <w:rFonts w:ascii="Arial" w:hAnsi="Arial"/>
          <w:vertAlign w:val="superscript"/>
          <w:rtl w:val="0"/>
          <w:lang w:val="en-US"/>
        </w:rPr>
        <w:t>1,2</w:t>
      </w:r>
      <w:r>
        <w:rPr>
          <w:rFonts w:ascii="Arial" w:hAnsi="Arial"/>
          <w:rtl w:val="0"/>
          <w:lang w:val="en-US"/>
        </w:rPr>
        <w:t>;</w:t>
      </w:r>
      <w:r>
        <w:rPr>
          <w:rFonts w:ascii="Arial" w:hAnsi="Arial"/>
          <w:vertAlign w:val="superscript"/>
          <w:rtl w:val="0"/>
          <w:lang w:val="en-US"/>
        </w:rPr>
        <w:t xml:space="preserve"> </w:t>
      </w:r>
      <w:r>
        <w:rPr>
          <w:rFonts w:ascii="Arial" w:hAnsi="Arial"/>
          <w:rtl w:val="0"/>
          <w:lang w:val="de-DE"/>
        </w:rPr>
        <w:t>Anne K. Bozack, PhD</w:t>
      </w:r>
      <w:r>
        <w:rPr>
          <w:rFonts w:ascii="Arial" w:hAnsi="Arial"/>
          <w:vertAlign w:val="superscript"/>
          <w:rtl w:val="0"/>
          <w:lang w:val="en-US"/>
        </w:rPr>
        <w:t>3</w:t>
      </w:r>
      <w:r>
        <w:rPr>
          <w:rFonts w:ascii="Arial" w:hAnsi="Arial"/>
          <w:rtl w:val="0"/>
          <w:lang w:val="en-US"/>
        </w:rPr>
        <w:t>;</w:t>
      </w:r>
      <w:r>
        <w:rPr>
          <w:rFonts w:ascii="Arial" w:hAnsi="Arial"/>
          <w:vertAlign w:val="superscript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Ajay Pillarisetti, PhD</w:t>
      </w:r>
      <w:r>
        <w:rPr>
          <w:rFonts w:ascii="Arial" w:hAnsi="Arial"/>
          <w:vertAlign w:val="superscript"/>
          <w:rtl w:val="0"/>
          <w:lang w:val="en-US"/>
        </w:rPr>
        <w:t>4</w:t>
      </w:r>
      <w:r>
        <w:rPr>
          <w:rFonts w:ascii="Arial" w:hAnsi="Arial"/>
          <w:rtl w:val="0"/>
          <w:lang w:val="de-DE"/>
        </w:rPr>
        <w:t>; Smita</w:t>
      </w:r>
      <w:r>
        <w:rPr>
          <w:rFonts w:ascii="Arial" w:hAnsi="Arial"/>
          <w:rtl w:val="0"/>
          <w:lang w:val="de-DE"/>
        </w:rPr>
        <w:t xml:space="preserve"> S.</w:t>
      </w:r>
      <w:r>
        <w:rPr>
          <w:rFonts w:ascii="Arial" w:hAnsi="Arial"/>
          <w:rtl w:val="0"/>
          <w:lang w:val="de-DE"/>
        </w:rPr>
        <w:t xml:space="preserve"> Patil, MBBS</w:t>
      </w:r>
      <w:r>
        <w:rPr>
          <w:rFonts w:ascii="Arial" w:hAnsi="Arial"/>
          <w:vertAlign w:val="superscript"/>
          <w:rtl w:val="0"/>
          <w:lang w:val="en-US"/>
        </w:rPr>
        <w:t>5</w:t>
      </w:r>
      <w:r>
        <w:rPr>
          <w:rFonts w:ascii="Arial" w:hAnsi="Arial"/>
          <w:rtl w:val="0"/>
          <w:lang w:val="nl-NL"/>
        </w:rPr>
        <w:t>; Kyle Steenland, PhD</w:t>
      </w:r>
      <w:r>
        <w:rPr>
          <w:rFonts w:ascii="Arial" w:hAnsi="Arial"/>
          <w:vertAlign w:val="superscript"/>
          <w:rtl w:val="0"/>
          <w:lang w:val="en-US"/>
        </w:rPr>
        <w:t>6</w:t>
      </w:r>
      <w:r>
        <w:rPr>
          <w:rFonts w:ascii="Arial" w:hAnsi="Arial"/>
          <w:rtl w:val="0"/>
          <w:lang w:val="en-US"/>
        </w:rPr>
        <w:t xml:space="preserve">; </w:t>
      </w:r>
      <w:r>
        <w:rPr>
          <w:rFonts w:ascii="Arial" w:hAnsi="Arial"/>
          <w:rtl w:val="0"/>
          <w:lang w:val="nl-NL"/>
        </w:rPr>
        <w:t>Kalpana Balakrishnan</w:t>
      </w:r>
      <w:r>
        <w:rPr>
          <w:rFonts w:ascii="Arial" w:hAnsi="Arial"/>
          <w:rtl w:val="0"/>
          <w:lang w:val="nl-NL"/>
        </w:rPr>
        <w:t>, PhD</w:t>
      </w:r>
      <w:r>
        <w:rPr>
          <w:rFonts w:ascii="Arial" w:hAnsi="Arial"/>
          <w:vertAlign w:val="superscript"/>
          <w:rtl w:val="0"/>
          <w:lang w:val="en-US"/>
        </w:rPr>
        <w:t>1</w:t>
      </w:r>
      <w:r>
        <w:rPr>
          <w:rFonts w:ascii="Arial" w:hAnsi="Arial"/>
          <w:rtl w:val="0"/>
          <w:lang w:val="en-US"/>
        </w:rPr>
        <w:t>; Lance A. Waller, PhD</w:t>
      </w:r>
      <w:r>
        <w:rPr>
          <w:rFonts w:ascii="Arial" w:hAnsi="Arial"/>
          <w:vertAlign w:val="superscript"/>
          <w:rtl w:val="0"/>
          <w:lang w:val="en-US"/>
        </w:rPr>
        <w:t>7</w:t>
      </w:r>
      <w:r>
        <w:rPr>
          <w:rFonts w:ascii="Arial" w:hAnsi="Arial"/>
          <w:rtl w:val="0"/>
          <w:lang w:val="en-US"/>
        </w:rPr>
        <w:t>; Shirin Jabbarzadeh, MD</w:t>
      </w:r>
      <w:r>
        <w:rPr>
          <w:rFonts w:ascii="Arial" w:hAnsi="Arial"/>
          <w:vertAlign w:val="superscript"/>
          <w:rtl w:val="0"/>
          <w:lang w:val="en-US"/>
        </w:rPr>
        <w:t>7</w:t>
      </w:r>
      <w:r>
        <w:rPr>
          <w:rFonts w:ascii="Arial" w:hAnsi="Arial"/>
          <w:rtl w:val="0"/>
          <w:lang w:val="en-US"/>
        </w:rPr>
        <w:t xml:space="preserve">; </w:t>
      </w:r>
      <w:r>
        <w:rPr>
          <w:rFonts w:ascii="Arial" w:hAnsi="Arial"/>
          <w:rtl w:val="0"/>
          <w:lang w:val="da-DK"/>
        </w:rPr>
        <w:t>Jennifer Peel, PhD</w:t>
      </w:r>
      <w:r>
        <w:rPr>
          <w:rFonts w:ascii="Arial" w:hAnsi="Arial"/>
          <w:vertAlign w:val="superscript"/>
          <w:rtl w:val="0"/>
          <w:lang w:val="en-US"/>
        </w:rPr>
        <w:t>8</w:t>
      </w:r>
      <w:r>
        <w:rPr>
          <w:rFonts w:ascii="Arial" w:hAnsi="Arial"/>
          <w:rtl w:val="0"/>
          <w:lang w:val="de-DE"/>
        </w:rPr>
        <w:t>; Thomas F. Clasen, PhD</w:t>
      </w:r>
      <w:r>
        <w:rPr>
          <w:rFonts w:ascii="Arial" w:hAnsi="Arial"/>
          <w:vertAlign w:val="superscript"/>
          <w:rtl w:val="0"/>
          <w:lang w:val="en-US"/>
        </w:rPr>
        <w:t>6</w:t>
      </w:r>
      <w:r>
        <w:rPr>
          <w:rFonts w:ascii="Arial" w:hAnsi="Arial"/>
          <w:rtl w:val="0"/>
          <w:lang w:val="en-US"/>
        </w:rPr>
        <w:t>;</w:t>
      </w:r>
      <w:r>
        <w:rPr>
          <w:rFonts w:ascii="Arial" w:hAnsi="Arial"/>
          <w:vertAlign w:val="superscript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Dana Boyd Barr, PhD</w:t>
      </w:r>
      <w:r>
        <w:rPr>
          <w:rFonts w:ascii="Arial" w:hAnsi="Arial"/>
          <w:vertAlign w:val="superscript"/>
          <w:rtl w:val="0"/>
          <w:lang w:val="en-US"/>
        </w:rPr>
        <w:t>6</w:t>
      </w:r>
      <w:r>
        <w:rPr>
          <w:rFonts w:ascii="Arial" w:hAnsi="Arial"/>
          <w:rtl w:val="0"/>
          <w:lang w:val="en-US"/>
        </w:rPr>
        <w:t>;</w:t>
      </w:r>
      <w:r>
        <w:rPr>
          <w:rFonts w:ascii="Arial" w:hAnsi="Arial"/>
          <w:vertAlign w:val="superscript"/>
          <w:rtl w:val="0"/>
          <w:lang w:val="en-US"/>
        </w:rPr>
        <w:t xml:space="preserve"> </w:t>
      </w:r>
      <w:r>
        <w:rPr>
          <w:rFonts w:ascii="Arial" w:hAnsi="Arial"/>
          <w:rtl w:val="0"/>
          <w:lang w:val="nl-NL"/>
        </w:rPr>
        <w:t>Naveen Puttaswamy, PhD</w:t>
      </w:r>
      <w:r>
        <w:rPr>
          <w:rFonts w:ascii="Arial" w:hAnsi="Arial"/>
          <w:vertAlign w:val="superscript"/>
          <w:rtl w:val="0"/>
          <w:lang w:val="en-US"/>
        </w:rPr>
        <w:t>1</w:t>
      </w:r>
      <w:r>
        <w:rPr>
          <w:rFonts w:ascii="Arial" w:hAnsi="Arial"/>
          <w:vertAlign w:val="superscript"/>
          <w:rtl w:val="0"/>
          <w:lang w:val="en-US"/>
        </w:rPr>
        <w:t>*</w:t>
      </w:r>
      <w:r>
        <w:rPr>
          <w:rFonts w:ascii="Arial" w:hAnsi="Arial"/>
          <w:rtl w:val="0"/>
          <w:lang w:val="en-US"/>
        </w:rPr>
        <w:t>;</w:t>
      </w:r>
      <w:r>
        <w:rPr>
          <w:rFonts w:ascii="Arial" w:hAnsi="Arial"/>
          <w:vertAlign w:val="superscript"/>
          <w:rtl w:val="0"/>
          <w:lang w:val="en-US"/>
        </w:rPr>
        <w:t xml:space="preserve"> </w:t>
      </w:r>
      <w:r>
        <w:rPr>
          <w:rFonts w:ascii="Arial" w:hAnsi="Arial"/>
          <w:rtl w:val="0"/>
          <w:lang w:val="pt-PT"/>
        </w:rPr>
        <w:t>Andres Cardenas, PhD</w:t>
      </w:r>
      <w:r>
        <w:rPr>
          <w:rFonts w:ascii="Arial" w:hAnsi="Arial"/>
          <w:vertAlign w:val="superscript"/>
          <w:rtl w:val="0"/>
          <w:lang w:val="en-US"/>
        </w:rPr>
        <w:t>3,9*</w:t>
      </w:r>
    </w:p>
    <w:p>
      <w:pPr>
        <w:pStyle w:val="Body"/>
        <w:spacing w:line="480" w:lineRule="auto"/>
        <w:rPr>
          <w:rFonts w:ascii="Arial" w:cs="Arial" w:hAnsi="Arial" w:eastAsia="Arial"/>
          <w:vertAlign w:val="superscript"/>
          <w:lang w:val="en-US"/>
        </w:rPr>
      </w:pPr>
    </w:p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fr-FR"/>
        </w:rPr>
        <w:t xml:space="preserve">Table </w:t>
      </w:r>
      <w:r>
        <w:rPr>
          <w:rFonts w:ascii="Arial" w:hAnsi="Arial"/>
          <w:b w:val="1"/>
          <w:bCs w:val="1"/>
          <w:rtl w:val="0"/>
          <w:lang w:val="en-US"/>
        </w:rPr>
        <w:t>S1</w:t>
      </w:r>
      <w:r>
        <w:rPr>
          <w:rFonts w:ascii="Arial" w:hAnsi="Arial"/>
          <w:b w:val="1"/>
          <w:bCs w:val="1"/>
          <w:rtl w:val="0"/>
          <w:lang w:val="en-US"/>
        </w:rPr>
        <w:t>: Geometric means of biomarkers (</w:t>
      </w:r>
      <w:r>
        <w:rPr>
          <w:rFonts w:ascii="Arial" w:hAnsi="Arial" w:hint="default"/>
          <w:b w:val="1"/>
          <w:bCs w:val="1"/>
          <w:rtl w:val="0"/>
        </w:rPr>
        <w:t>µ</w:t>
      </w:r>
      <w:r>
        <w:rPr>
          <w:rFonts w:ascii="Arial" w:hAnsi="Arial"/>
          <w:b w:val="1"/>
          <w:bCs w:val="1"/>
          <w:rtl w:val="0"/>
          <w:lang w:val="en-US"/>
        </w:rPr>
        <w:t>g/g creatinine; 95% CI) in CARES-HAPIN children, 2023-2025, Tamil Nadu, India</w:t>
      </w:r>
    </w:p>
    <w:tbl>
      <w:tblPr>
        <w:tblW w:w="102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609"/>
        <w:gridCol w:w="2199"/>
        <w:gridCol w:w="2199"/>
        <w:gridCol w:w="2199"/>
      </w:tblGrid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Biomarker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Average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P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renatal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Average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P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ostnatal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Current</w:t>
            </w:r>
          </w:p>
        </w:tc>
      </w:tr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Cotinine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3.44 (2.65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4.48)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9.18 (6.60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12.77)</w:t>
            </w:r>
          </w:p>
        </w:tc>
        <w:tc>
          <w:tcPr>
            <w:tcW w:type="dxa" w:w="2198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7.20 (5.40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9.62)</w:t>
            </w:r>
          </w:p>
        </w:tc>
      </w:tr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3-hydroxycotinine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8.86 (7.16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10.97)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17.83 (13.67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23.25)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16.22 (11.01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23.90)</w:t>
            </w:r>
          </w:p>
        </w:tc>
      </w:tr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Nicotine 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quivalents (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cotinine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+ 3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HC)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13.22 (10.78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16.20)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28.74 (22.19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37.23)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28.42 (21.18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38.14)</w:t>
            </w:r>
          </w:p>
        </w:tc>
      </w:tr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2-nap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thol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30.28 (24.46, 37.48)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55.39 (44.90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68.34)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33.72 (27.52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41.33)</w:t>
            </w:r>
          </w:p>
        </w:tc>
      </w:tr>
      <w:tr>
        <w:tblPrEx>
          <w:shd w:val="clear" w:color="auto" w:fill="cadfff"/>
        </w:tblPrEx>
        <w:trPr>
          <w:trHeight w:val="481" w:hRule="atLeast"/>
        </w:trPr>
        <w:tc>
          <w:tcPr>
            <w:tcW w:type="dxa" w:w="3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1-hydroxypyrene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5.72 (4.45, 7.34)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12.23 (10.08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14.84)</w:t>
            </w:r>
          </w:p>
        </w:tc>
        <w:tc>
          <w:tcPr>
            <w:tcW w:type="dxa" w:w="219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3.63 (2.70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–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4.89)</w:t>
            </w:r>
          </w:p>
        </w:tc>
      </w:tr>
    </w:tbl>
    <w:p>
      <w:pPr>
        <w:pStyle w:val="Body"/>
        <w:spacing w:line="48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fr-FR"/>
        </w:rPr>
        <w:t>Table S</w:t>
      </w:r>
      <w:r>
        <w:rPr>
          <w:rFonts w:ascii="Arial" w:hAnsi="Arial"/>
          <w:b w:val="1"/>
          <w:bCs w:val="1"/>
          <w:rtl w:val="0"/>
          <w:lang w:val="en-US"/>
        </w:rPr>
        <w:t>2</w:t>
      </w:r>
      <w:r>
        <w:rPr>
          <w:rFonts w:ascii="Arial" w:hAnsi="Arial"/>
          <w:b w:val="1"/>
          <w:bCs w:val="1"/>
          <w:rtl w:val="0"/>
          <w:lang w:val="en-US"/>
        </w:rPr>
        <w:t>: Cell-type adjusted associations of urinary nicotine biomarkers with epigenetic age deviation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 xml:space="preserve">in CARES-HAPIN children </w:t>
      </w:r>
      <w:r>
        <w:rPr>
          <w:rFonts w:ascii="Arial" w:hAnsi="Arial"/>
          <w:b w:val="1"/>
          <w:bCs w:val="1"/>
          <w:rtl w:val="0"/>
        </w:rPr>
        <w:t>(2023-2025, Tamil Nadu, India)</w:t>
      </w:r>
    </w:p>
    <w:p>
      <w:pPr>
        <w:pStyle w:val="Body"/>
        <w:spacing w:line="48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Results from linear models adjusted for estimated cell type proportions, study site, mother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education, child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body mass index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z-score</w:t>
      </w:r>
      <w:r>
        <w:rPr>
          <w:rFonts w:ascii="Arial" w:hAnsi="Arial"/>
          <w:rtl w:val="0"/>
          <w:lang w:val="en-US"/>
        </w:rPr>
        <w:t>, age, and sex</w:t>
      </w:r>
    </w:p>
    <w:tbl>
      <w:tblPr>
        <w:tblW w:w="925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656"/>
        <w:gridCol w:w="1656"/>
        <w:gridCol w:w="874"/>
        <w:gridCol w:w="1656"/>
        <w:gridCol w:w="876"/>
        <w:gridCol w:w="1656"/>
        <w:gridCol w:w="877"/>
      </w:tblGrid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1656"/>
            <w:vMerge w:val="restart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Outcome</w:t>
            </w:r>
          </w:p>
        </w:tc>
        <w:tc>
          <w:tcPr>
            <w:tcW w:type="dxa" w:w="2530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 xml:space="preserve">Average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renatal</w:t>
            </w:r>
          </w:p>
        </w:tc>
        <w:tc>
          <w:tcPr>
            <w:tcW w:type="dxa" w:w="2532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 xml:space="preserve">Average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ostnatal</w:t>
            </w:r>
          </w:p>
        </w:tc>
        <w:tc>
          <w:tcPr>
            <w:tcW w:type="dxa" w:w="2533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Current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1656"/>
            <w:vMerge w:val="continue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</w:tcPr>
          <w:p/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</w:tr>
      <w:tr>
        <w:tblPrEx>
          <w:shd w:val="clear" w:color="auto" w:fill="cadfff"/>
        </w:tblPrEx>
        <w:trPr>
          <w:trHeight w:val="254" w:hRule="atLeast"/>
        </w:trPr>
        <w:tc>
          <w:tcPr>
            <w:tcW w:type="dxa" w:w="9251"/>
            <w:gridSpan w:val="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Cotinine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Horvath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0.43, 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rtl w:val="0"/>
                <w:lang w:val="en-US"/>
              </w:rPr>
              <w:t>0.04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0.17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0.03, 0.44)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 xml:space="preserve">PC Horvath 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0.13, 0.04)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0.01, 0.13)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0.08, 0.11)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0.71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0.21, 0.08)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0.06, 0.19)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0.07, 0.24)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0.27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0.21, 0.09)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0.19)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49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0.00, 0.03)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0.02, 0.02)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0.03, 0.01)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48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0.00, 0.01)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0.01, 0.00)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PedBE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0.12, 0.08)</w:t>
            </w:r>
          </w:p>
        </w:tc>
        <w:tc>
          <w:tcPr>
            <w:tcW w:type="dxa" w:w="87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0.69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59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0.07, 0.14)</w:t>
            </w:r>
          </w:p>
        </w:tc>
        <w:tc>
          <w:tcPr>
            <w:tcW w:type="dxa" w:w="8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0.54</w:t>
            </w:r>
          </w:p>
        </w:tc>
      </w:tr>
      <w:tr>
        <w:tblPrEx>
          <w:shd w:val="clear" w:color="auto" w:fill="cadfff"/>
        </w:tblPrEx>
        <w:trPr>
          <w:trHeight w:val="254" w:hRule="atLeast"/>
        </w:trPr>
        <w:tc>
          <w:tcPr>
            <w:tcW w:type="dxa" w:w="9251"/>
            <w:gridSpan w:val="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3-hydroxycotinine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Horvath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0.37, 0.25)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0.71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9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0.15, 0.20)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0.77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 xml:space="preserve">PC Horvath 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0.16, 0.07)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0.44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0.04, 0.14)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0.12, 0.01)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0.23, 0.17)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0.11, 0.20)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0.55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0.11, 0.12)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0.90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0.12, 0.29)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0.42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0.14, 0.18)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0.06, 0.17)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0.35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0.01, 0.04)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0.23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0.02, 0.02)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(0.00, 0.03)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rtl w:val="0"/>
                <w:lang w:val="en-US"/>
              </w:rPr>
              <w:t>5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0.02, 0.00)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0.78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PedBE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0.12, 0.16)</w:t>
            </w:r>
          </w:p>
        </w:tc>
        <w:tc>
          <w:tcPr>
            <w:tcW w:type="dxa" w:w="87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0.78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0.10, 0.11)</w:t>
            </w:r>
          </w:p>
        </w:tc>
        <w:tc>
          <w:tcPr>
            <w:tcW w:type="dxa" w:w="8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0.01, 0.14)</w:t>
            </w:r>
          </w:p>
        </w:tc>
        <w:tc>
          <w:tcPr>
            <w:tcW w:type="dxa" w:w="8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</w:t>
            </w:r>
          </w:p>
        </w:tc>
      </w:tr>
      <w:tr>
        <w:tblPrEx>
          <w:shd w:val="clear" w:color="auto" w:fill="cadfff"/>
        </w:tblPrEx>
        <w:trPr>
          <w:trHeight w:val="254" w:hRule="atLeast"/>
        </w:trPr>
        <w:tc>
          <w:tcPr>
            <w:tcW w:type="dxa" w:w="9251"/>
            <w:gridSpan w:val="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 xml:space="preserve">Nicotine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E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quivalents (cotinine + 3-HC)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Horvath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0.51, 0.11)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0.20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11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0.17, 0.31)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0.57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 xml:space="preserve">PC Horvath 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0.17, 0.07)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0.03, 0.16)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0.19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0.15, 0.02)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0.26, 0.16)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0.64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0.09, 0.2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0.13, 0.18)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0.77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0.18, 0.24)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0.07, 0.24)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0.29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0.01, 0.05)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0.02, 0.03)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0.00, 0.04)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0.94</w:t>
            </w:r>
          </w:p>
        </w:tc>
      </w:tr>
      <w:tr>
        <w:tblPrEx>
          <w:shd w:val="clear" w:color="auto" w:fill="cadfff"/>
        </w:tblPrEx>
        <w:trPr>
          <w:trHeight w:val="496" w:hRule="atLeast"/>
        </w:trPr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PedBE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0.14, 0.14)</w:t>
            </w:r>
          </w:p>
        </w:tc>
        <w:tc>
          <w:tcPr>
            <w:tcW w:type="dxa" w:w="87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0.96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0.14)</w:t>
            </w:r>
          </w:p>
        </w:tc>
        <w:tc>
          <w:tcPr>
            <w:tcW w:type="dxa" w:w="8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0.02, 0.18)</w:t>
            </w:r>
          </w:p>
        </w:tc>
        <w:tc>
          <w:tcPr>
            <w:tcW w:type="dxa" w:w="8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</w:p>
        </w:tc>
      </w:tr>
    </w:tbl>
    <w:p>
      <w:pPr>
        <w:pStyle w:val="Body"/>
        <w:spacing w:line="480" w:lineRule="auto"/>
        <w:rPr>
          <w:rFonts w:ascii="Arial" w:cs="Arial" w:hAnsi="Arial" w:eastAsia="Arial"/>
        </w:rPr>
      </w:pPr>
    </w:p>
    <w:p>
      <w:pPr>
        <w:pStyle w:val="Body"/>
        <w:spacing w:line="480" w:lineRule="auto"/>
        <w:rPr>
          <w:rFonts w:ascii="Arial" w:cs="Arial" w:hAnsi="Arial" w:eastAsia="Arial"/>
        </w:rPr>
      </w:pPr>
    </w:p>
    <w:p>
      <w:pPr>
        <w:pStyle w:val="Body"/>
        <w:spacing w:line="48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fr-FR"/>
        </w:rPr>
        <w:t>Table S</w:t>
      </w:r>
      <w:r>
        <w:rPr>
          <w:rFonts w:ascii="Arial" w:hAnsi="Arial"/>
          <w:b w:val="1"/>
          <w:bCs w:val="1"/>
          <w:rtl w:val="0"/>
          <w:lang w:val="en-US"/>
        </w:rPr>
        <w:t>3</w:t>
      </w:r>
      <w:r>
        <w:rPr>
          <w:rFonts w:ascii="Arial" w:hAnsi="Arial"/>
          <w:b w:val="1"/>
          <w:bCs w:val="1"/>
          <w:rtl w:val="0"/>
          <w:lang w:val="en-US"/>
        </w:rPr>
        <w:t>: Cell-type adjusted associations of urinary polycyclic aromatic hydrocarbon metabolites with epigenetic age deviation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 xml:space="preserve">in CARES-HAPIN children </w:t>
      </w:r>
      <w:r>
        <w:rPr>
          <w:rFonts w:ascii="Arial" w:hAnsi="Arial"/>
          <w:b w:val="1"/>
          <w:bCs w:val="1"/>
          <w:rtl w:val="0"/>
        </w:rPr>
        <w:t>(2023-2025, Tamil Nadu, India)</w:t>
      </w:r>
    </w:p>
    <w:p>
      <w:pPr>
        <w:pStyle w:val="Body"/>
        <w:spacing w:line="48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Results from linear models adjusted for estimated cell type proportions, study site, mother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education, child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body mass index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z-score</w:t>
      </w:r>
      <w:r>
        <w:rPr>
          <w:rFonts w:ascii="Arial" w:hAnsi="Arial"/>
          <w:rtl w:val="0"/>
          <w:lang w:val="en-US"/>
        </w:rPr>
        <w:t>, age, and sex</w:t>
      </w:r>
    </w:p>
    <w:tbl>
      <w:tblPr>
        <w:tblW w:w="925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656"/>
        <w:gridCol w:w="1656"/>
        <w:gridCol w:w="874"/>
        <w:gridCol w:w="1656"/>
        <w:gridCol w:w="876"/>
        <w:gridCol w:w="1656"/>
        <w:gridCol w:w="877"/>
      </w:tblGrid>
      <w:tr>
        <w:tblPrEx>
          <w:shd w:val="clear" w:color="auto" w:fill="cadfff"/>
        </w:tblPrEx>
        <w:trPr>
          <w:trHeight w:val="255" w:hRule="atLeast"/>
        </w:trPr>
        <w:tc>
          <w:tcPr>
            <w:tcW w:type="dxa" w:w="1656"/>
            <w:vMerge w:val="restart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Outcome</w:t>
            </w:r>
          </w:p>
        </w:tc>
        <w:tc>
          <w:tcPr>
            <w:tcW w:type="dxa" w:w="2530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 xml:space="preserve">Average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renatal</w:t>
            </w:r>
          </w:p>
        </w:tc>
        <w:tc>
          <w:tcPr>
            <w:tcW w:type="dxa" w:w="2532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 xml:space="preserve">Average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ostnatal</w:t>
            </w:r>
          </w:p>
        </w:tc>
        <w:tc>
          <w:tcPr>
            <w:tcW w:type="dxa" w:w="2533"/>
            <w:gridSpan w:val="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Current</w:t>
            </w:r>
          </w:p>
        </w:tc>
      </w:tr>
      <w:tr>
        <w:tblPrEx>
          <w:shd w:val="clear" w:color="auto" w:fill="cadfff"/>
        </w:tblPrEx>
        <w:trPr>
          <w:trHeight w:val="255" w:hRule="atLeast"/>
        </w:trPr>
        <w:tc>
          <w:tcPr>
            <w:tcW w:type="dxa" w:w="1656"/>
            <w:vMerge w:val="continue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</w:tcPr>
          <w:p/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B (95% CI)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p value</w:t>
            </w:r>
          </w:p>
        </w:tc>
      </w:tr>
      <w:tr>
        <w:tblPrEx>
          <w:shd w:val="clear" w:color="auto" w:fill="cadfff"/>
        </w:tblPrEx>
        <w:trPr>
          <w:trHeight w:val="255" w:hRule="atLeast"/>
        </w:trPr>
        <w:tc>
          <w:tcPr>
            <w:tcW w:type="dxa" w:w="6718"/>
            <w:gridSpan w:val="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2-nap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h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thol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Horvath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0.36, 0.25)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0.72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0.38)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0.49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0.18, 0.4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 xml:space="preserve">PC Horvath 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0.11)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0.08, 0.13)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0.15, 0.08)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0.22, 0.15)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0.11, 0.28)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0.40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0.20)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0.17, 0.21)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0.23 (0.05, 0.4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rtl w:val="0"/>
                <w:lang w:val="en-US"/>
              </w:rPr>
              <w:t>1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0.03, 0.02)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0.02, 0.03)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0.02, 0.03)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0.02, 0.00)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0.27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PedBE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0.15, 0.12)</w:t>
            </w:r>
          </w:p>
        </w:tc>
        <w:tc>
          <w:tcPr>
            <w:tcW w:type="dxa" w:w="87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0.80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0.16, 0.09)</w:t>
            </w:r>
          </w:p>
        </w:tc>
        <w:tc>
          <w:tcPr>
            <w:tcW w:type="dxa" w:w="8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0.57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0.03, 0.23)</w:t>
            </w:r>
          </w:p>
        </w:tc>
        <w:tc>
          <w:tcPr>
            <w:tcW w:type="dxa" w:w="8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</w:p>
        </w:tc>
      </w:tr>
      <w:tr>
        <w:tblPrEx>
          <w:shd w:val="clear" w:color="auto" w:fill="cadfff"/>
        </w:tblPrEx>
        <w:trPr>
          <w:trHeight w:val="255" w:hRule="atLeast"/>
        </w:trPr>
        <w:tc>
          <w:tcPr>
            <w:tcW w:type="dxa" w:w="6718"/>
            <w:gridSpan w:val="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</w:rPr>
              <w:t>1-hydroxypyrene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Horvath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0.31, 0.21)</w:t>
            </w:r>
          </w:p>
        </w:tc>
        <w:tc>
          <w:tcPr>
            <w:tcW w:type="dxa" w:w="87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4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 xml:space="preserve">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0.09, 0.56)</w:t>
            </w:r>
          </w:p>
        </w:tc>
        <w:tc>
          <w:tcPr>
            <w:tcW w:type="dxa" w:w="8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0.15</w:t>
            </w:r>
          </w:p>
        </w:tc>
        <w:tc>
          <w:tcPr>
            <w:tcW w:type="dxa" w:w="165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0.18, 0.26)</w:t>
            </w:r>
          </w:p>
        </w:tc>
        <w:tc>
          <w:tcPr>
            <w:tcW w:type="dxa" w:w="87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0.71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 xml:space="preserve">PC Horvath 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0.06, 0.14)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0.08, 0.17)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0.45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0.12, 0.05)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0.39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0.19, 0.15)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0.8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5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0.19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0.02, 0.39)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0.12, 0.17)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0.76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Skin&amp;Blood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0.05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0.22)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58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0.18, 0.26)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0.13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0.01, 0.27)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0.07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0.03, 0.02)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0.5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0.02, 0.03)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0.70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0.02, 0.02)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2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PC DNAmTL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0.48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</w:t>
            </w:r>
          </w:p>
        </w:tc>
        <w:tc>
          <w:tcPr>
            <w:tcW w:type="dxa" w:w="16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0.01, 0.01)</w:t>
            </w:r>
          </w:p>
        </w:tc>
        <w:tc>
          <w:tcPr>
            <w:tcW w:type="dxa" w:w="8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</w:p>
        </w:tc>
      </w:tr>
      <w:tr>
        <w:tblPrEx>
          <w:shd w:val="clear" w:color="auto" w:fill="cadfff"/>
        </w:tblPrEx>
        <w:trPr>
          <w:trHeight w:val="531" w:hRule="atLeast"/>
        </w:trPr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spacing w:line="288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</w:rPr>
              <w:t>PedBE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0.00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0.12)</w:t>
            </w:r>
          </w:p>
        </w:tc>
        <w:tc>
          <w:tcPr>
            <w:tcW w:type="dxa" w:w="87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0.9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0.08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7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, 0.2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3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0.27</w:t>
            </w:r>
          </w:p>
        </w:tc>
        <w:tc>
          <w:tcPr>
            <w:tcW w:type="dxa" w:w="165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0.06 (</w:t>
            </w:r>
            <w:r>
              <w:rPr>
                <w:rFonts w:ascii="Arial" w:hAnsi="Arial" w:hint="default"/>
                <w:sz w:val="20"/>
                <w:szCs w:val="20"/>
                <w:rtl w:val="0"/>
                <w:lang w:val="en-US"/>
              </w:rPr>
              <w:t>−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0.04, 0.1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6</w:t>
            </w: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)</w:t>
            </w:r>
          </w:p>
        </w:tc>
        <w:tc>
          <w:tcPr>
            <w:tcW w:type="dxa" w:w="87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8" w:lineRule="auto"/>
              <w:jc w:val="center"/>
            </w:pPr>
            <w:r>
              <w:rPr>
                <w:rFonts w:ascii="Arial" w:hAnsi="Arial"/>
                <w:sz w:val="20"/>
                <w:szCs w:val="20"/>
                <w:rtl w:val="0"/>
                <w:lang w:val="en-US"/>
              </w:rPr>
              <w:t>0.23</w:t>
            </w:r>
          </w:p>
        </w:tc>
      </w:tr>
    </w:tbl>
    <w:p>
      <w:pPr>
        <w:pStyle w:val="Body"/>
        <w:spacing w:line="48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fr-FR"/>
        </w:rPr>
        <w:t xml:space="preserve">Table </w:t>
      </w:r>
      <w:r>
        <w:rPr>
          <w:rFonts w:ascii="Arial" w:hAnsi="Arial"/>
          <w:b w:val="1"/>
          <w:bCs w:val="1"/>
          <w:rtl w:val="0"/>
          <w:lang w:val="en-US"/>
        </w:rPr>
        <w:t>S4</w:t>
      </w:r>
      <w:r>
        <w:rPr>
          <w:rFonts w:ascii="Arial" w:hAnsi="Arial"/>
          <w:b w:val="1"/>
          <w:bCs w:val="1"/>
          <w:rtl w:val="0"/>
          <w:lang w:val="en-US"/>
        </w:rPr>
        <w:t>. Summary of quality control measurements (CARES - HAPIN, 2023-2025, Tamil Nadu, India)</w:t>
      </w:r>
    </w:p>
    <w:tbl>
      <w:tblPr>
        <w:tblW w:w="932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313"/>
        <w:gridCol w:w="1184"/>
        <w:gridCol w:w="1166"/>
        <w:gridCol w:w="1058"/>
        <w:gridCol w:w="1555"/>
        <w:gridCol w:w="2050"/>
      </w:tblGrid>
      <w:tr>
        <w:tblPrEx>
          <w:shd w:val="clear" w:color="auto" w:fill="cadfff"/>
        </w:tblPrEx>
        <w:trPr>
          <w:trHeight w:val="676" w:hRule="atLeast"/>
        </w:trPr>
        <w:tc>
          <w:tcPr>
            <w:tcW w:type="dxa" w:w="2313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Analyte</w:t>
            </w:r>
          </w:p>
        </w:tc>
        <w:tc>
          <w:tcPr>
            <w:tcW w:type="dxa" w:w="1184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Total N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vertAlign w:val="superscript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166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Detection rate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vertAlign w:val="superscript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(%)</w:t>
            </w:r>
          </w:p>
        </w:tc>
        <w:tc>
          <w:tcPr>
            <w:tcW w:type="dxa" w:w="105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LOD ng/mL</w:t>
            </w:r>
          </w:p>
        </w:tc>
        <w:tc>
          <w:tcPr>
            <w:tcW w:type="dxa" w:w="1554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Recovery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vertAlign w:val="superscript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(%)</w:t>
            </w:r>
          </w:p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mean (SD)</w:t>
            </w:r>
          </w:p>
        </w:tc>
        <w:tc>
          <w:tcPr>
            <w:tcW w:type="dxa" w:w="205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Fonts w:ascii="Arial" w:cs="Arial" w:hAnsi="Arial" w:eastAsia="Arial"/>
                <w:b w:val="1"/>
                <w:bCs w:val="1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Precision (CV) </w:t>
            </w:r>
          </w:p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min-max</w:t>
            </w:r>
          </w:p>
        </w:tc>
      </w:tr>
      <w:tr>
        <w:tblPrEx>
          <w:shd w:val="clear" w:color="auto" w:fill="cadfff"/>
        </w:tblPrEx>
        <w:trPr>
          <w:trHeight w:val="297" w:hRule="atLeast"/>
        </w:trPr>
        <w:tc>
          <w:tcPr>
            <w:tcW w:type="dxa" w:w="2313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otinine</w:t>
            </w:r>
          </w:p>
        </w:tc>
        <w:tc>
          <w:tcPr>
            <w:tcW w:type="dxa" w:w="1184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16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97.6</w:t>
            </w:r>
          </w:p>
        </w:tc>
        <w:tc>
          <w:tcPr>
            <w:tcW w:type="dxa" w:w="105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0.05</w:t>
            </w:r>
          </w:p>
        </w:tc>
        <w:tc>
          <w:tcPr>
            <w:tcW w:type="dxa" w:w="1554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81.7 (6.4)</w:t>
            </w:r>
          </w:p>
        </w:tc>
        <w:tc>
          <w:tcPr>
            <w:tcW w:type="dxa" w:w="205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0.62 - 4.65</w:t>
            </w:r>
          </w:p>
        </w:tc>
      </w:tr>
      <w:tr>
        <w:tblPrEx>
          <w:shd w:val="clear" w:color="auto" w:fill="cadfff"/>
        </w:tblPrEx>
        <w:trPr>
          <w:trHeight w:val="297" w:hRule="atLeast"/>
        </w:trPr>
        <w:tc>
          <w:tcPr>
            <w:tcW w:type="dxa" w:w="23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hydroxycotinine</w:t>
            </w:r>
          </w:p>
        </w:tc>
        <w:tc>
          <w:tcPr>
            <w:tcW w:type="dxa" w:w="11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1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98.4</w:t>
            </w:r>
          </w:p>
        </w:tc>
        <w:tc>
          <w:tcPr>
            <w:tcW w:type="dxa" w:w="10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0.05</w:t>
            </w:r>
          </w:p>
        </w:tc>
        <w:tc>
          <w:tcPr>
            <w:tcW w:type="dxa" w:w="1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88.7 (6.8)</w:t>
            </w:r>
          </w:p>
        </w:tc>
        <w:tc>
          <w:tcPr>
            <w:tcW w:type="dxa" w:w="20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0.65 - 5.49</w:t>
            </w:r>
          </w:p>
        </w:tc>
      </w:tr>
      <w:tr>
        <w:tblPrEx>
          <w:shd w:val="clear" w:color="auto" w:fill="cadfff"/>
        </w:tblPrEx>
        <w:trPr>
          <w:trHeight w:val="297" w:hRule="atLeast"/>
        </w:trPr>
        <w:tc>
          <w:tcPr>
            <w:tcW w:type="dxa" w:w="23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2-nap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h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thol</w:t>
            </w:r>
          </w:p>
        </w:tc>
        <w:tc>
          <w:tcPr>
            <w:tcW w:type="dxa" w:w="11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1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100</w:t>
            </w:r>
          </w:p>
        </w:tc>
        <w:tc>
          <w:tcPr>
            <w:tcW w:type="dxa" w:w="10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0.02</w:t>
            </w:r>
          </w:p>
        </w:tc>
        <w:tc>
          <w:tcPr>
            <w:tcW w:type="dxa" w:w="1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102.8 (2.5)</w:t>
            </w:r>
          </w:p>
        </w:tc>
        <w:tc>
          <w:tcPr>
            <w:tcW w:type="dxa" w:w="20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1.94 - 4.52</w:t>
            </w:r>
          </w:p>
        </w:tc>
      </w:tr>
      <w:tr>
        <w:tblPrEx>
          <w:shd w:val="clear" w:color="auto" w:fill="cadfff"/>
        </w:tblPrEx>
        <w:trPr>
          <w:trHeight w:val="297" w:hRule="atLeast"/>
        </w:trPr>
        <w:tc>
          <w:tcPr>
            <w:tcW w:type="dxa" w:w="2313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1-hydroxypyrene</w:t>
            </w:r>
          </w:p>
        </w:tc>
        <w:tc>
          <w:tcPr>
            <w:tcW w:type="dxa" w:w="1184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16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99.1</w:t>
            </w:r>
          </w:p>
        </w:tc>
        <w:tc>
          <w:tcPr>
            <w:tcW w:type="dxa" w:w="105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0.06</w:t>
            </w:r>
          </w:p>
        </w:tc>
        <w:tc>
          <w:tcPr>
            <w:tcW w:type="dxa" w:w="1554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104.6 (4.2)</w:t>
            </w:r>
          </w:p>
        </w:tc>
        <w:tc>
          <w:tcPr>
            <w:tcW w:type="dxa" w:w="205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1.69 - 4.89</w:t>
            </w:r>
          </w:p>
        </w:tc>
      </w:tr>
    </w:tbl>
    <w:p>
      <w:pPr>
        <w:pStyle w:val="Body"/>
        <w:spacing w:line="480" w:lineRule="auto"/>
      </w:pPr>
      <w:r>
        <w:rPr>
          <w:rFonts w:ascii="Arial" w:hAnsi="Arial"/>
          <w:vertAlign w:val="superscript"/>
          <w:rtl w:val="0"/>
        </w:rPr>
        <w:t>1</w:t>
      </w:r>
      <w:r>
        <w:rPr>
          <w:rFonts w:ascii="Arial" w:hAnsi="Arial"/>
          <w:rtl w:val="0"/>
          <w:lang w:val="en-US"/>
        </w:rPr>
        <w:t xml:space="preserve">Total urine samples analysed across all time points; </w:t>
      </w:r>
      <w:r>
        <w:rPr>
          <w:rFonts w:ascii="Arial" w:hAnsi="Arial"/>
          <w:vertAlign w:val="superscript"/>
          <w:rtl w:val="0"/>
        </w:rPr>
        <w:t>2</w:t>
      </w:r>
      <w:r>
        <w:rPr>
          <w:rFonts w:ascii="Arial" w:hAnsi="Arial"/>
          <w:rtl w:val="0"/>
          <w:lang w:val="en-US"/>
        </w:rPr>
        <w:t xml:space="preserve">Samples with levels above detection limit; </w:t>
      </w:r>
      <w:r>
        <w:rPr>
          <w:rFonts w:ascii="Arial" w:hAnsi="Arial"/>
          <w:vertAlign w:val="superscript"/>
          <w:rtl w:val="0"/>
        </w:rPr>
        <w:t>3</w:t>
      </w:r>
      <w:r>
        <w:rPr>
          <w:rFonts w:ascii="Arial" w:hAnsi="Arial"/>
          <w:rtl w:val="0"/>
          <w:lang w:val="en-US"/>
        </w:rPr>
        <w:t>Recovery of spiked stable isotope of cotinine-</w:t>
      </w:r>
      <w:r>
        <w:rPr>
          <w:rFonts w:ascii="Arial" w:hAnsi="Arial"/>
          <w:i w:val="1"/>
          <w:iCs w:val="1"/>
          <w:rtl w:val="0"/>
        </w:rPr>
        <w:t>d3</w:t>
      </w:r>
      <w:r>
        <w:rPr>
          <w:rFonts w:ascii="Arial" w:hAnsi="Arial"/>
          <w:i w:val="1"/>
          <w:iCs w:val="1"/>
          <w:rtl w:val="0"/>
          <w:lang w:val="en-US"/>
        </w:rPr>
        <w:t xml:space="preserve">, </w:t>
      </w:r>
      <w:r>
        <w:rPr>
          <w:rFonts w:ascii="Arial" w:hAnsi="Arial"/>
          <w:rtl w:val="0"/>
        </w:rPr>
        <w:t>3</w:t>
      </w:r>
      <w:r>
        <w:rPr>
          <w:rFonts w:ascii="Arial" w:hAnsi="Arial"/>
          <w:rtl w:val="0"/>
          <w:lang w:val="en-US"/>
        </w:rPr>
        <w:t>-</w:t>
      </w:r>
      <w:r>
        <w:rPr>
          <w:rFonts w:ascii="Arial" w:hAnsi="Arial"/>
          <w:rtl w:val="0"/>
          <w:lang w:val="en-US"/>
        </w:rPr>
        <w:t>hydroxycotinine-</w:t>
      </w:r>
      <w:r>
        <w:rPr>
          <w:rFonts w:ascii="Arial" w:hAnsi="Arial"/>
          <w:i w:val="1"/>
          <w:iCs w:val="1"/>
          <w:rtl w:val="0"/>
        </w:rPr>
        <w:t>d3</w:t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and</w:t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s</w:t>
      </w:r>
      <w:r>
        <w:rPr>
          <w:rFonts w:ascii="Arial" w:hAnsi="Arial"/>
          <w:rtl w:val="0"/>
          <w:lang w:val="en-US"/>
        </w:rPr>
        <w:t>tandard reference material (SRM 3672, NIST)</w:t>
      </w:r>
      <w:r>
        <w:rPr>
          <w:rFonts w:ascii="Arial" w:hAnsi="Arial"/>
          <w:rtl w:val="0"/>
          <w:lang w:val="en-US"/>
        </w:rPr>
        <w:t xml:space="preserve">; </w:t>
      </w:r>
      <w:r>
        <w:rPr>
          <w:rFonts w:ascii="Arial" w:hAnsi="Arial"/>
          <w:rtl w:val="0"/>
          <w:lang w:val="es-ES_tradnl"/>
        </w:rPr>
        <w:t xml:space="preserve">LOD </w:t>
      </w:r>
      <w:r>
        <w:rPr>
          <w:rFonts w:ascii="Arial" w:hAnsi="Arial" w:hint="default"/>
          <w:rtl w:val="0"/>
          <w:lang w:val="en-US"/>
        </w:rPr>
        <w:t xml:space="preserve">– </w:t>
      </w:r>
      <w:r>
        <w:rPr>
          <w:rFonts w:ascii="Arial" w:hAnsi="Arial"/>
          <w:rtl w:val="0"/>
          <w:lang w:val="en-US"/>
        </w:rPr>
        <w:t>limit of detection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spacing w:line="48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fr-FR"/>
        </w:rPr>
        <w:t>Table S</w:t>
      </w:r>
      <w:r>
        <w:rPr>
          <w:rFonts w:ascii="Arial" w:hAnsi="Arial"/>
          <w:b w:val="1"/>
          <w:bCs w:val="1"/>
          <w:rtl w:val="0"/>
          <w:lang w:val="en-US"/>
        </w:rPr>
        <w:t>5</w:t>
      </w:r>
      <w:r>
        <w:rPr>
          <w:rFonts w:ascii="Arial" w:hAnsi="Arial"/>
          <w:b w:val="1"/>
          <w:bCs w:val="1"/>
          <w:rtl w:val="0"/>
          <w:lang w:val="en-US"/>
        </w:rPr>
        <w:t xml:space="preserve">: Summary of DNA methylation aging biomarkers computed in the study </w:t>
      </w:r>
    </w:p>
    <w:tbl>
      <w:tblPr>
        <w:tblW w:w="1018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07"/>
        <w:gridCol w:w="1606"/>
        <w:gridCol w:w="1721"/>
        <w:gridCol w:w="1019"/>
        <w:gridCol w:w="1200"/>
        <w:gridCol w:w="1068"/>
        <w:gridCol w:w="1201"/>
        <w:gridCol w:w="962"/>
      </w:tblGrid>
      <w:tr>
        <w:tblPrEx>
          <w:shd w:val="clear" w:color="auto" w:fill="cadfff"/>
        </w:tblPrEx>
        <w:trPr>
          <w:trHeight w:val="1285" w:hRule="atLeast"/>
        </w:trPr>
        <w:tc>
          <w:tcPr>
            <w:tcW w:type="dxa" w:w="140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Clock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Prediction</w:t>
            </w:r>
          </w:p>
        </w:tc>
        <w:tc>
          <w:tcPr>
            <w:tcW w:type="dxa" w:w="172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Tissue</w:t>
            </w:r>
          </w:p>
        </w:tc>
        <w:tc>
          <w:tcPr>
            <w:tcW w:type="dxa" w:w="1019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Age range of training sets (years)</w:t>
            </w:r>
          </w:p>
        </w:tc>
        <w:tc>
          <w:tcPr>
            <w:tcW w:type="dxa" w:w="120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samples used in training</w:t>
            </w:r>
          </w:p>
        </w:tc>
        <w:tc>
          <w:tcPr>
            <w:tcW w:type="dxa" w:w="1067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CpGs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required</w:t>
            </w:r>
          </w:p>
        </w:tc>
        <w:tc>
          <w:tcPr>
            <w:tcW w:type="dxa" w:w="120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CpGs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present</w:t>
            </w:r>
          </w:p>
        </w:tc>
        <w:tc>
          <w:tcPr>
            <w:tcW w:type="dxa" w:w="962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CpGs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missing</w:t>
            </w:r>
          </w:p>
        </w:tc>
      </w:tr>
      <w:tr>
        <w:tblPrEx>
          <w:shd w:val="clear" w:color="auto" w:fill="cadfff"/>
        </w:tblPrEx>
        <w:trPr>
          <w:trHeight w:val="1810" w:hRule="atLeast"/>
        </w:trPr>
        <w:tc>
          <w:tcPr>
            <w:tcW w:type="dxa" w:w="140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Horvath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Chronological age</w:t>
            </w:r>
          </w:p>
        </w:tc>
        <w:tc>
          <w:tcPr>
            <w:tcW w:type="dxa" w:w="172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82 datasets with 51 tissues and cell types (adult blood and tissues, cord blood, placenta, and sperm)</w:t>
            </w:r>
          </w:p>
        </w:tc>
        <w:tc>
          <w:tcPr>
            <w:tcW w:type="dxa" w:w="1019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0-100</w:t>
            </w:r>
          </w:p>
        </w:tc>
        <w:tc>
          <w:tcPr>
            <w:tcW w:type="dxa" w:w="120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3931</w:t>
            </w:r>
          </w:p>
        </w:tc>
        <w:tc>
          <w:tcPr>
            <w:tcW w:type="dxa" w:w="1067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353</w:t>
            </w:r>
          </w:p>
        </w:tc>
        <w:tc>
          <w:tcPr>
            <w:tcW w:type="dxa" w:w="120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340</w:t>
            </w:r>
          </w:p>
        </w:tc>
        <w:tc>
          <w:tcPr>
            <w:tcW w:type="dxa" w:w="962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13</w:t>
            </w:r>
          </w:p>
        </w:tc>
      </w:tr>
      <w:tr>
        <w:tblPrEx>
          <w:shd w:val="clear" w:color="auto" w:fill="cadfff"/>
        </w:tblPrEx>
        <w:trPr>
          <w:trHeight w:val="1810" w:hRule="atLeast"/>
        </w:trPr>
        <w:tc>
          <w:tcPr>
            <w:tcW w:type="dxa" w:w="140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Skin&amp;Blood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16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Chronological age</w:t>
            </w:r>
          </w:p>
        </w:tc>
        <w:tc>
          <w:tcPr>
            <w:tcW w:type="dxa" w:w="1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 datasets (buccal cells, epithelium, fibroblasts, whole blood, skin, and cord blood)</w:t>
            </w:r>
          </w:p>
        </w:tc>
        <w:tc>
          <w:tcPr>
            <w:tcW w:type="dxa" w:w="10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0-94</w:t>
            </w:r>
          </w:p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1069</w:t>
            </w:r>
          </w:p>
        </w:tc>
        <w:tc>
          <w:tcPr>
            <w:tcW w:type="dxa" w:w="10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391</w:t>
            </w:r>
          </w:p>
        </w:tc>
        <w:tc>
          <w:tcPr>
            <w:tcW w:type="dxa" w:w="12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374</w:t>
            </w:r>
          </w:p>
        </w:tc>
        <w:tc>
          <w:tcPr>
            <w:tcW w:type="dxa" w:w="9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</w:tr>
      <w:tr>
        <w:tblPrEx>
          <w:shd w:val="clear" w:color="auto" w:fill="cadfff"/>
        </w:tblPrEx>
        <w:trPr>
          <w:trHeight w:val="1284" w:hRule="atLeast"/>
        </w:trPr>
        <w:tc>
          <w:tcPr>
            <w:tcW w:type="dxa" w:w="140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DNAmTL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1605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DNAm 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Telomere length</w:t>
            </w:r>
          </w:p>
        </w:tc>
        <w:tc>
          <w:tcPr>
            <w:tcW w:type="dxa" w:w="1720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 datasets (adult blood, adipose tissue, fibroblasts, endothelial cells)</w:t>
            </w:r>
          </w:p>
        </w:tc>
        <w:tc>
          <w:tcPr>
            <w:tcW w:type="dxa" w:w="1019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22-93</w:t>
            </w:r>
          </w:p>
        </w:tc>
        <w:tc>
          <w:tcPr>
            <w:tcW w:type="dxa" w:w="1200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2256</w:t>
            </w:r>
          </w:p>
        </w:tc>
        <w:tc>
          <w:tcPr>
            <w:tcW w:type="dxa" w:w="1067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140</w:t>
            </w:r>
          </w:p>
        </w:tc>
        <w:tc>
          <w:tcPr>
            <w:tcW w:type="dxa" w:w="1201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109</w:t>
            </w:r>
          </w:p>
        </w:tc>
        <w:tc>
          <w:tcPr>
            <w:tcW w:type="dxa" w:w="962"/>
            <w:tcBorders>
              <w:top w:val="nil"/>
              <w:left w:val="nil"/>
              <w:bottom w:val="single" w:color="ffffff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31</w:t>
            </w:r>
          </w:p>
        </w:tc>
      </w:tr>
      <w:tr>
        <w:tblPrEx>
          <w:shd w:val="clear" w:color="auto" w:fill="cadfff"/>
        </w:tblPrEx>
        <w:trPr>
          <w:trHeight w:val="759" w:hRule="atLeast"/>
        </w:trPr>
        <w:tc>
          <w:tcPr>
            <w:tcW w:type="dxa" w:w="1407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PedBE</w:t>
            </w:r>
          </w:p>
        </w:tc>
        <w:tc>
          <w:tcPr>
            <w:tcW w:type="dxa" w:w="1605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Chronological age</w:t>
            </w:r>
          </w:p>
        </w:tc>
        <w:tc>
          <w:tcPr>
            <w:tcW w:type="dxa" w:w="1720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 datasets (buccal cells and saliva)</w:t>
            </w:r>
          </w:p>
        </w:tc>
        <w:tc>
          <w:tcPr>
            <w:tcW w:type="dxa" w:w="1019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2-20</w:t>
            </w:r>
          </w:p>
        </w:tc>
        <w:tc>
          <w:tcPr>
            <w:tcW w:type="dxa" w:w="1200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1032</w:t>
            </w:r>
          </w:p>
        </w:tc>
        <w:tc>
          <w:tcPr>
            <w:tcW w:type="dxa" w:w="1067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94</w:t>
            </w:r>
          </w:p>
        </w:tc>
        <w:tc>
          <w:tcPr>
            <w:tcW w:type="dxa" w:w="1201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93</w:t>
            </w:r>
          </w:p>
        </w:tc>
        <w:tc>
          <w:tcPr>
            <w:tcW w:type="dxa" w:w="962"/>
            <w:tcBorders>
              <w:top w:val="single" w:color="ffffff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</w:tr>
    </w:tbl>
    <w:p>
      <w:pPr>
        <w:pStyle w:val="Body"/>
        <w:spacing w:line="480" w:lineRule="auto"/>
      </w:pPr>
      <w:r>
        <w:rPr>
          <w:rFonts w:ascii="Arial" w:hAnsi="Arial"/>
          <w:rtl w:val="0"/>
          <w:lang w:val="en-US"/>
        </w:rPr>
        <w:t>*</w:t>
      </w:r>
      <w:r>
        <w:rPr>
          <w:rFonts w:ascii="Arial" w:hAnsi="Arial"/>
          <w:rtl w:val="0"/>
          <w:lang w:val="en-US"/>
        </w:rPr>
        <w:t xml:space="preserve">PC versions of the clocks: </w:t>
      </w:r>
      <w:r>
        <w:rPr>
          <w:rFonts w:ascii="Arial" w:hAnsi="Arial"/>
          <w:rtl w:val="0"/>
          <w:lang w:val="en-US"/>
        </w:rPr>
        <w:t>n</w:t>
      </w:r>
      <w:r>
        <w:rPr>
          <w:rFonts w:ascii="Arial" w:hAnsi="Arial"/>
          <w:rtl w:val="0"/>
          <w:lang w:val="en-US"/>
        </w:rPr>
        <w:t>umber of CpGs required = 78464, CpGs present = 72663, CpGs missing = 5801</w:t>
      </w: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6" w:h="16838" w:orient="portrait"/>
      <w:pgMar w:top="850" w:right="850" w:bottom="850" w:left="85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